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CBC" w:rsidRDefault="002F5CBC" w:rsidP="00ED298E">
      <w:pPr>
        <w:jc w:val="both"/>
      </w:pPr>
      <w:r>
        <w:t>Figure 1 shows a patch antenna fed by a coaxial probe.  The dimensions of the patch antenna and the substrate and the material of the substrate are given in ref [1]</w:t>
      </w:r>
      <w:r w:rsidR="00ED298E">
        <w:t xml:space="preserve">, and can be taken from the solved database </w:t>
      </w:r>
      <w:r w:rsidR="00840F8E">
        <w:t>“</w:t>
      </w:r>
      <w:r w:rsidR="00840F8E" w:rsidRPr="00840F8E">
        <w:t>patch_probeFeeding_IEEE_AP_Magazine_April2005_pp13-29_solved.dbs</w:t>
      </w:r>
      <w:r w:rsidR="00840F8E">
        <w:t>”</w:t>
      </w:r>
      <w:r>
        <w:t xml:space="preserve">. </w:t>
      </w:r>
    </w:p>
    <w:p w:rsidR="002F5CBC" w:rsidRDefault="002F5CBC" w:rsidP="002F5CBC"/>
    <w:p w:rsidR="002F5CBC" w:rsidRDefault="002F5CBC" w:rsidP="002F5CBC">
      <w:r>
        <w:t>In the coaxial we excite a TEM mode and the solver will create the coaxial port and the outer conductor of the coaxial will be assigned as a ground plane. Figure 15 shows the S11 results which compare very well with the published results in [1].</w:t>
      </w:r>
    </w:p>
    <w:p w:rsidR="002F5CBC" w:rsidRDefault="002F5CBC" w:rsidP="002F5CBC"/>
    <w:p w:rsidR="002F5CBC" w:rsidRDefault="002F5CBC" w:rsidP="002F5CBC"/>
    <w:p w:rsidR="002F5CBC" w:rsidRDefault="002F5CBC" w:rsidP="002F5CBC"/>
    <w:p w:rsidR="002F5CBC" w:rsidRDefault="002F5CBC" w:rsidP="002F5CBC">
      <w:r>
        <w:rPr>
          <w:noProof/>
        </w:rPr>
        <w:drawing>
          <wp:inline distT="0" distB="0" distL="0" distR="0">
            <wp:extent cx="5941695" cy="3341370"/>
            <wp:effectExtent l="19050" t="0" r="1905" b="0"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334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CBC" w:rsidRDefault="002F5CBC" w:rsidP="002F5CBC"/>
    <w:p w:rsidR="002F5CBC" w:rsidRDefault="002F5CBC" w:rsidP="00F93FCD">
      <w:pPr>
        <w:jc w:val="center"/>
      </w:pPr>
      <w:r>
        <w:t>Figure 1</w:t>
      </w:r>
      <w:r w:rsidR="00F93FCD">
        <w:t>:  P</w:t>
      </w:r>
      <w:r>
        <w:t>atch antenna fed by coaxial probe.</w:t>
      </w:r>
    </w:p>
    <w:p w:rsidR="00F93FCD" w:rsidRDefault="00F93FCD" w:rsidP="002F5CBC"/>
    <w:p w:rsidR="00F93FCD" w:rsidRDefault="00F93FCD" w:rsidP="00F93FCD">
      <w:pPr>
        <w:pStyle w:val="Heading4"/>
      </w:pPr>
      <w:r>
        <w:t>Defining Source Signal Characteristics</w:t>
      </w:r>
    </w:p>
    <w:p w:rsidR="00F93FCD" w:rsidRDefault="00F93FCD" w:rsidP="00F93FCD">
      <w:pPr>
        <w:pStyle w:val="BodyText"/>
      </w:pPr>
      <w:r>
        <w:t>In this section we will explain the procedure to define the characteristics of the source signal that will be assigned as the excitation of the horn.</w:t>
      </w:r>
    </w:p>
    <w:p w:rsidR="00F93FCD" w:rsidRDefault="00F93FCD" w:rsidP="00F93FCD">
      <w:pPr>
        <w:pStyle w:val="BodyText"/>
        <w:numPr>
          <w:ilvl w:val="0"/>
          <w:numId w:val="1"/>
        </w:numPr>
      </w:pPr>
      <w:r>
        <w:t xml:space="preserve">From </w:t>
      </w:r>
      <w:r w:rsidRPr="00BA13DD">
        <w:rPr>
          <w:b/>
        </w:rPr>
        <w:t>CHRONOS</w:t>
      </w:r>
      <w:r>
        <w:t xml:space="preserve"> </w:t>
      </w:r>
      <w:r>
        <w:rPr>
          <w:b/>
        </w:rPr>
        <w:t>Menu B</w:t>
      </w:r>
      <w:r w:rsidRPr="00BA13DD">
        <w:rPr>
          <w:b/>
        </w:rPr>
        <w:t>ar</w:t>
      </w:r>
      <w:r>
        <w:t xml:space="preserve"> Select </w:t>
      </w:r>
      <w:r w:rsidRPr="00723A8B">
        <w:rPr>
          <w:b/>
        </w:rPr>
        <w:t>Physics&gt;Source</w:t>
      </w:r>
      <w:r>
        <w:t xml:space="preserve"> </w:t>
      </w:r>
      <w:r w:rsidRPr="00BA13DD">
        <w:rPr>
          <w:b/>
        </w:rPr>
        <w:t>Table</w:t>
      </w:r>
      <w:r>
        <w:rPr>
          <w:b/>
        </w:rPr>
        <w:t>…</w:t>
      </w:r>
      <w:r>
        <w:t xml:space="preserve"> command.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8"/>
        <w:gridCol w:w="1980"/>
        <w:gridCol w:w="180"/>
        <w:gridCol w:w="2268"/>
      </w:tblGrid>
      <w:tr w:rsidR="00F93FCD" w:rsidTr="00F26E0A">
        <w:trPr>
          <w:trHeight w:val="1970"/>
        </w:trPr>
        <w:tc>
          <w:tcPr>
            <w:tcW w:w="4428" w:type="dxa"/>
          </w:tcPr>
          <w:p w:rsidR="00F93FCD" w:rsidRDefault="00F93FCD" w:rsidP="00F93FCD">
            <w:pPr>
              <w:pStyle w:val="BodyText"/>
              <w:numPr>
                <w:ilvl w:val="0"/>
                <w:numId w:val="1"/>
              </w:numPr>
            </w:pPr>
            <w:r w:rsidRPr="00723A8B">
              <w:rPr>
                <w:b/>
              </w:rPr>
              <w:t>Source</w:t>
            </w:r>
            <w:r>
              <w:t xml:space="preserve"> </w:t>
            </w:r>
            <w:r w:rsidRPr="00E115B9">
              <w:rPr>
                <w:b/>
              </w:rPr>
              <w:t>Table</w:t>
            </w:r>
            <w:r>
              <w:t xml:space="preserve"> dialog box will open.</w:t>
            </w:r>
          </w:p>
          <w:p w:rsidR="00F93FCD" w:rsidRDefault="00F93FCD" w:rsidP="00F93FCD">
            <w:pPr>
              <w:pStyle w:val="BodyText"/>
              <w:numPr>
                <w:ilvl w:val="0"/>
                <w:numId w:val="1"/>
              </w:numPr>
            </w:pPr>
            <w:r w:rsidRPr="00E115B9">
              <w:rPr>
                <w:b/>
                <w:i/>
              </w:rPr>
              <w:t>Left-Click</w:t>
            </w:r>
            <w:r>
              <w:rPr>
                <w:b/>
              </w:rPr>
              <w:t xml:space="preserve"> </w:t>
            </w:r>
            <w:r>
              <w:t xml:space="preserve">the </w:t>
            </w:r>
            <w:r w:rsidRPr="00E115B9">
              <w:rPr>
                <w:b/>
              </w:rPr>
              <w:t>[Source Manager]</w:t>
            </w:r>
            <w:r>
              <w:t xml:space="preserve"> button to open the </w:t>
            </w:r>
            <w:r w:rsidRPr="00E115B9">
              <w:rPr>
                <w:b/>
              </w:rPr>
              <w:t>Source Manager</w:t>
            </w:r>
            <w:r>
              <w:t xml:space="preserve"> dialog box.</w:t>
            </w:r>
          </w:p>
        </w:tc>
        <w:tc>
          <w:tcPr>
            <w:tcW w:w="4428" w:type="dxa"/>
            <w:gridSpan w:val="3"/>
          </w:tcPr>
          <w:p w:rsidR="00F93FCD" w:rsidRDefault="00F93FCD" w:rsidP="00F26E0A">
            <w:pPr>
              <w:pStyle w:val="BodyText"/>
            </w:pPr>
            <w:r>
              <w:rPr>
                <w:noProof/>
              </w:rPr>
              <w:drawing>
                <wp:inline distT="0" distB="0" distL="0" distR="0">
                  <wp:extent cx="2246929" cy="1005840"/>
                  <wp:effectExtent l="19050" t="0" r="971" b="0"/>
                  <wp:docPr id="49" name="Picture 127" descr="figure2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gure27.bmp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6929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</w:t>
            </w:r>
          </w:p>
        </w:tc>
      </w:tr>
      <w:tr w:rsidR="00F93FCD" w:rsidTr="00F26E0A">
        <w:trPr>
          <w:trHeight w:val="3284"/>
        </w:trPr>
        <w:tc>
          <w:tcPr>
            <w:tcW w:w="4428" w:type="dxa"/>
          </w:tcPr>
          <w:p w:rsidR="00F93FCD" w:rsidRDefault="00F93FCD" w:rsidP="00F93FCD">
            <w:pPr>
              <w:pStyle w:val="BodyText"/>
              <w:numPr>
                <w:ilvl w:val="0"/>
                <w:numId w:val="1"/>
              </w:numPr>
            </w:pPr>
            <w:r w:rsidRPr="00162D6F">
              <w:rPr>
                <w:b/>
                <w:i/>
              </w:rPr>
              <w:lastRenderedPageBreak/>
              <w:t>Left-click</w:t>
            </w:r>
            <w:r>
              <w:t xml:space="preserve"> the </w:t>
            </w:r>
            <w:r>
              <w:rPr>
                <w:b/>
              </w:rPr>
              <w:t>Voltage</w:t>
            </w:r>
            <w:r>
              <w:t xml:space="preserve"> option of the </w:t>
            </w:r>
            <w:r w:rsidRPr="00162D6F">
              <w:rPr>
                <w:b/>
              </w:rPr>
              <w:t>Quantity</w:t>
            </w:r>
            <w:r>
              <w:t xml:space="preserve"> pull down menu and then </w:t>
            </w:r>
            <w:r w:rsidRPr="00162D6F">
              <w:rPr>
                <w:b/>
                <w:i/>
              </w:rPr>
              <w:t>Left-click</w:t>
            </w:r>
            <w:r>
              <w:t xml:space="preserve"> </w:t>
            </w:r>
            <w:r w:rsidRPr="00162D6F">
              <w:rPr>
                <w:b/>
              </w:rPr>
              <w:t>[Add New]</w:t>
            </w:r>
            <w:r>
              <w:t xml:space="preserve"> button to initiate the </w:t>
            </w:r>
            <w:r w:rsidRPr="00CE2E56">
              <w:rPr>
                <w:b/>
              </w:rPr>
              <w:t>Voltage</w:t>
            </w:r>
            <w:r w:rsidRPr="00641F32">
              <w:rPr>
                <w:b/>
              </w:rPr>
              <w:t xml:space="preserve"> Source1</w:t>
            </w:r>
            <w:r>
              <w:t xml:space="preserve"> in the </w:t>
            </w:r>
            <w:r w:rsidRPr="00641F32">
              <w:rPr>
                <w:b/>
              </w:rPr>
              <w:t>Source Manager</w:t>
            </w:r>
            <w:r w:rsidRPr="00641F32">
              <w:t>.</w:t>
            </w:r>
          </w:p>
          <w:p w:rsidR="00F93FCD" w:rsidRDefault="00F93FCD" w:rsidP="00F93FCD">
            <w:pPr>
              <w:pStyle w:val="BodyText"/>
              <w:numPr>
                <w:ilvl w:val="0"/>
                <w:numId w:val="1"/>
              </w:numPr>
            </w:pPr>
            <w:r w:rsidRPr="00EB16AA">
              <w:rPr>
                <w:b/>
                <w:i/>
              </w:rPr>
              <w:t>Left-click</w:t>
            </w:r>
            <w:r>
              <w:t xml:space="preserve"> </w:t>
            </w:r>
            <w:r w:rsidRPr="00EB16AA">
              <w:rPr>
                <w:b/>
              </w:rPr>
              <w:t>[View Edit]</w:t>
            </w:r>
            <w:r>
              <w:t xml:space="preserve"> button to open </w:t>
            </w:r>
            <w:r w:rsidRPr="00AD233F">
              <w:rPr>
                <w:b/>
              </w:rPr>
              <w:t>View/Edit</w:t>
            </w:r>
            <w:r>
              <w:t xml:space="preserve"> Source dialog box.</w:t>
            </w:r>
          </w:p>
        </w:tc>
        <w:tc>
          <w:tcPr>
            <w:tcW w:w="2160" w:type="dxa"/>
            <w:gridSpan w:val="2"/>
          </w:tcPr>
          <w:p w:rsidR="00F93FCD" w:rsidRDefault="00F93FCD" w:rsidP="00F26E0A">
            <w:pPr>
              <w:pStyle w:val="BodyText"/>
            </w:pPr>
            <w:r>
              <w:rPr>
                <w:noProof/>
              </w:rPr>
              <w:drawing>
                <wp:inline distT="0" distB="0" distL="0" distR="0">
                  <wp:extent cx="1234440" cy="1800860"/>
                  <wp:effectExtent l="19050" t="0" r="3810" b="0"/>
                  <wp:docPr id="50" name="Picture 96" descr="figure34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gure341.bmp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4440" cy="1800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F93FCD" w:rsidRDefault="00F93FCD" w:rsidP="00F26E0A">
            <w:pPr>
              <w:pStyle w:val="BodyText"/>
            </w:pPr>
            <w:r>
              <w:rPr>
                <w:noProof/>
              </w:rPr>
              <w:drawing>
                <wp:inline distT="0" distB="0" distL="0" distR="0">
                  <wp:extent cx="1303020" cy="1896745"/>
                  <wp:effectExtent l="19050" t="0" r="0" b="0"/>
                  <wp:docPr id="51" name="Picture 97" descr="figure34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gure342.bmp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189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3FCD" w:rsidTr="00F26E0A">
        <w:tc>
          <w:tcPr>
            <w:tcW w:w="6408" w:type="dxa"/>
            <w:gridSpan w:val="2"/>
          </w:tcPr>
          <w:p w:rsidR="00F93FCD" w:rsidRDefault="00F93FCD" w:rsidP="00F93FCD">
            <w:pPr>
              <w:pStyle w:val="BodyText"/>
              <w:numPr>
                <w:ilvl w:val="0"/>
                <w:numId w:val="1"/>
              </w:numPr>
            </w:pPr>
            <w:r>
              <w:t xml:space="preserve">Select the </w:t>
            </w:r>
            <w:r w:rsidRPr="00EB16AA">
              <w:rPr>
                <w:b/>
              </w:rPr>
              <w:t>Standard</w:t>
            </w:r>
            <w:r>
              <w:rPr>
                <w:b/>
              </w:rPr>
              <w:t xml:space="preserve"> </w:t>
            </w:r>
            <w:r>
              <w:t>radio button to choose the type of the signal from the available 3 ways.</w:t>
            </w:r>
          </w:p>
          <w:p w:rsidR="00F93FCD" w:rsidRPr="00EB16AA" w:rsidRDefault="00F93FCD" w:rsidP="00F93FCD">
            <w:pPr>
              <w:pStyle w:val="BodyText"/>
              <w:numPr>
                <w:ilvl w:val="0"/>
                <w:numId w:val="1"/>
              </w:numPr>
              <w:rPr>
                <w:b/>
              </w:rPr>
            </w:pPr>
            <w:r w:rsidRPr="00EB16AA">
              <w:rPr>
                <w:b/>
              </w:rPr>
              <w:t>Modulated Gaussian Pulse</w:t>
            </w:r>
            <w:r>
              <w:rPr>
                <w:b/>
              </w:rPr>
              <w:t xml:space="preserve"> </w:t>
            </w:r>
            <w:r>
              <w:t xml:space="preserve">source is selected from the </w:t>
            </w:r>
            <w:r w:rsidRPr="00EB16AA">
              <w:rPr>
                <w:b/>
              </w:rPr>
              <w:t>Standard</w:t>
            </w:r>
            <w:r>
              <w:t xml:space="preserve"> pull down menu. At present this is the only option available under the </w:t>
            </w:r>
            <w:r w:rsidRPr="00EB16AA">
              <w:rPr>
                <w:b/>
              </w:rPr>
              <w:t>Standard</w:t>
            </w:r>
            <w:r>
              <w:t xml:space="preserve"> type of sources in </w:t>
            </w:r>
            <w:r w:rsidRPr="00EB16AA">
              <w:rPr>
                <w:b/>
              </w:rPr>
              <w:t>CHRONOS</w:t>
            </w:r>
            <w:r>
              <w:t>.</w:t>
            </w:r>
          </w:p>
          <w:p w:rsidR="00F93FCD" w:rsidRPr="00EB16AA" w:rsidRDefault="00F93FCD" w:rsidP="00F93FCD">
            <w:pPr>
              <w:pStyle w:val="BodyText"/>
              <w:numPr>
                <w:ilvl w:val="0"/>
                <w:numId w:val="1"/>
              </w:numPr>
            </w:pPr>
            <w:r>
              <w:t xml:space="preserve">Set </w:t>
            </w:r>
            <w:proofErr w:type="spellStart"/>
            <w:r w:rsidRPr="00EB16AA">
              <w:rPr>
                <w:b/>
              </w:rPr>
              <w:t>Fmin</w:t>
            </w:r>
            <w:proofErr w:type="spellEnd"/>
            <w:r>
              <w:t xml:space="preserve"> to </w:t>
            </w:r>
            <w:r>
              <w:rPr>
                <w:b/>
              </w:rPr>
              <w:t>1</w:t>
            </w:r>
            <w:r w:rsidRPr="007F17EE">
              <w:rPr>
                <w:b/>
              </w:rPr>
              <w:t>GHz</w:t>
            </w:r>
            <w:r>
              <w:t xml:space="preserve"> and </w:t>
            </w:r>
            <w:proofErr w:type="spellStart"/>
            <w:r w:rsidRPr="00EB16AA">
              <w:rPr>
                <w:b/>
              </w:rPr>
              <w:t>Fmax</w:t>
            </w:r>
            <w:proofErr w:type="spellEnd"/>
            <w:r>
              <w:t xml:space="preserve"> to </w:t>
            </w:r>
            <w:r>
              <w:rPr>
                <w:b/>
              </w:rPr>
              <w:t xml:space="preserve">5.5 </w:t>
            </w:r>
            <w:r w:rsidRPr="007F17EE">
              <w:rPr>
                <w:b/>
              </w:rPr>
              <w:t>GHz</w:t>
            </w:r>
            <w:r>
              <w:t xml:space="preserve">. Note </w:t>
            </w:r>
            <w:proofErr w:type="gramStart"/>
            <w:r>
              <w:t xml:space="preserve">that  </w:t>
            </w:r>
            <w:proofErr w:type="spellStart"/>
            <w:r w:rsidRPr="00F60787">
              <w:rPr>
                <w:b/>
              </w:rPr>
              <w:t>Fmin</w:t>
            </w:r>
            <w:proofErr w:type="spellEnd"/>
            <w:proofErr w:type="gramEnd"/>
            <w:r>
              <w:t xml:space="preserve"> is the lower (</w:t>
            </w:r>
            <w:r w:rsidRPr="007F17EE">
              <w:rPr>
                <w:b/>
              </w:rPr>
              <w:t>-3dB</w:t>
            </w:r>
            <w:r>
              <w:t xml:space="preserve">) cutoff frequency and </w:t>
            </w:r>
            <w:proofErr w:type="spellStart"/>
            <w:r w:rsidRPr="00F60787">
              <w:rPr>
                <w:b/>
              </w:rPr>
              <w:t>Fmax</w:t>
            </w:r>
            <w:proofErr w:type="spellEnd"/>
            <w:r>
              <w:t xml:space="preserve"> is the upper </w:t>
            </w:r>
            <w:r w:rsidRPr="007F17EE">
              <w:rPr>
                <w:b/>
              </w:rPr>
              <w:t>(-3dB</w:t>
            </w:r>
            <w:r>
              <w:t xml:space="preserve">) cutoff frequency of the spectrum of the modulated Gaussian pulse. Set the </w:t>
            </w:r>
            <w:r w:rsidRPr="00F60787">
              <w:rPr>
                <w:b/>
              </w:rPr>
              <w:t>Amplitude</w:t>
            </w:r>
            <w:r>
              <w:t xml:space="preserve"> of the modulated Gaussian pulse to </w:t>
            </w:r>
            <w:r w:rsidRPr="007F17EE">
              <w:rPr>
                <w:b/>
              </w:rPr>
              <w:t>1V</w:t>
            </w:r>
            <w:r>
              <w:t xml:space="preserve"> and press </w:t>
            </w:r>
            <w:r w:rsidRPr="00671C5B">
              <w:rPr>
                <w:b/>
              </w:rPr>
              <w:t>[</w:t>
            </w:r>
            <w:r w:rsidRPr="00EB16AA">
              <w:rPr>
                <w:b/>
              </w:rPr>
              <w:t>OK</w:t>
            </w:r>
            <w:r>
              <w:rPr>
                <w:b/>
              </w:rPr>
              <w:t>]</w:t>
            </w:r>
            <w:r>
              <w:t xml:space="preserve"> button to go back to the </w:t>
            </w:r>
            <w:r w:rsidRPr="00671C5B">
              <w:rPr>
                <w:b/>
              </w:rPr>
              <w:t>Source Manager</w:t>
            </w:r>
            <w:r>
              <w:t xml:space="preserve"> box. </w:t>
            </w:r>
          </w:p>
        </w:tc>
        <w:tc>
          <w:tcPr>
            <w:tcW w:w="2448" w:type="dxa"/>
            <w:gridSpan w:val="2"/>
          </w:tcPr>
          <w:p w:rsidR="00F93FCD" w:rsidRDefault="00F93FCD" w:rsidP="00F26E0A">
            <w:pPr>
              <w:pStyle w:val="BodyText"/>
            </w:pPr>
            <w:r>
              <w:rPr>
                <w:noProof/>
              </w:rPr>
              <w:t xml:space="preserve">  </w:t>
            </w:r>
            <w:r>
              <w:object w:dxaOrig="5115" w:dyaOrig="87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190.5pt" o:ole="">
                  <v:imagedata r:id="rId11" o:title=""/>
                </v:shape>
                <o:OLEObject Type="Embed" ProgID="PBrush" ShapeID="_x0000_i1025" DrawAspect="Content" ObjectID="_1523862512" r:id="rId12"/>
              </w:object>
            </w:r>
          </w:p>
        </w:tc>
      </w:tr>
    </w:tbl>
    <w:p w:rsidR="00F93FCD" w:rsidRDefault="00F93FCD" w:rsidP="00F93FCD">
      <w:pPr>
        <w:pStyle w:val="BodyText"/>
        <w:numPr>
          <w:ilvl w:val="0"/>
          <w:numId w:val="1"/>
        </w:numPr>
      </w:pPr>
      <w:r>
        <w:t xml:space="preserve">Press the </w:t>
      </w:r>
      <w:r w:rsidRPr="00671C5B">
        <w:rPr>
          <w:b/>
        </w:rPr>
        <w:t>[Close]</w:t>
      </w:r>
      <w:r>
        <w:t xml:space="preserve"> button of the </w:t>
      </w:r>
      <w:r w:rsidRPr="00671C5B">
        <w:rPr>
          <w:b/>
        </w:rPr>
        <w:t>Source Manager</w:t>
      </w:r>
      <w:r>
        <w:t xml:space="preserve"> dialog box to go back to the </w:t>
      </w:r>
      <w:r>
        <w:rPr>
          <w:b/>
        </w:rPr>
        <w:t>Source T</w:t>
      </w:r>
      <w:r w:rsidRPr="00671C5B">
        <w:rPr>
          <w:b/>
        </w:rPr>
        <w:t>able</w:t>
      </w:r>
      <w:r>
        <w:t xml:space="preserve"> dialog box.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7"/>
        <w:gridCol w:w="3929"/>
      </w:tblGrid>
      <w:tr w:rsidR="00F93FCD" w:rsidTr="00F26E0A">
        <w:tc>
          <w:tcPr>
            <w:tcW w:w="6318" w:type="dxa"/>
          </w:tcPr>
          <w:p w:rsidR="00F93FCD" w:rsidRPr="00F93FCD" w:rsidRDefault="00F93FCD" w:rsidP="00F93FCD">
            <w:pPr>
              <w:pStyle w:val="BodyText"/>
              <w:numPr>
                <w:ilvl w:val="0"/>
                <w:numId w:val="1"/>
              </w:numPr>
              <w:rPr>
                <w:i/>
              </w:rPr>
            </w:pPr>
            <w:r w:rsidRPr="00671C5B">
              <w:rPr>
                <w:b/>
                <w:i/>
              </w:rPr>
              <w:t>Left-click</w:t>
            </w:r>
            <w:r>
              <w:t xml:space="preserve"> on the </w:t>
            </w:r>
            <w:r w:rsidRPr="00CE2E56">
              <w:rPr>
                <w:b/>
              </w:rPr>
              <w:t>Voltage</w:t>
            </w:r>
            <w:r w:rsidRPr="00671C5B">
              <w:rPr>
                <w:b/>
              </w:rPr>
              <w:t xml:space="preserve"> Source1</w:t>
            </w:r>
            <w:r>
              <w:rPr>
                <w:b/>
              </w:rPr>
              <w:t xml:space="preserve"> </w:t>
            </w:r>
            <w:r w:rsidRPr="00671C5B">
              <w:t xml:space="preserve">to </w:t>
            </w:r>
            <w:r>
              <w:t xml:space="preserve">display the components of the source </w:t>
            </w:r>
            <w:r w:rsidRPr="00F93FCD">
              <w:rPr>
                <w:i/>
              </w:rPr>
              <w:t>defined.</w:t>
            </w:r>
          </w:p>
          <w:p w:rsidR="00F93FCD" w:rsidRDefault="00F93FCD" w:rsidP="00F93FCD">
            <w:pPr>
              <w:pStyle w:val="BodyText"/>
              <w:numPr>
                <w:ilvl w:val="0"/>
                <w:numId w:val="1"/>
              </w:numPr>
            </w:pPr>
            <w:r w:rsidRPr="00F93FCD">
              <w:rPr>
                <w:i/>
              </w:rPr>
              <w:t xml:space="preserve">Press </w:t>
            </w:r>
            <w:r w:rsidRPr="00F93FCD">
              <w:rPr>
                <w:b/>
                <w:i/>
              </w:rPr>
              <w:t>[Close]</w:t>
            </w:r>
            <w:r w:rsidRPr="00F93FCD">
              <w:rPr>
                <w:i/>
              </w:rPr>
              <w:t xml:space="preserve"> button of the </w:t>
            </w:r>
            <w:r w:rsidRPr="00F93FCD">
              <w:rPr>
                <w:b/>
                <w:i/>
              </w:rPr>
              <w:t>Source</w:t>
            </w:r>
            <w:r w:rsidRPr="00F93FCD">
              <w:rPr>
                <w:i/>
              </w:rPr>
              <w:t xml:space="preserve"> </w:t>
            </w:r>
            <w:r w:rsidRPr="00F93FCD">
              <w:rPr>
                <w:b/>
                <w:i/>
              </w:rPr>
              <w:t>Table</w:t>
            </w:r>
            <w:r w:rsidRPr="00F93FCD">
              <w:rPr>
                <w:i/>
              </w:rPr>
              <w:t xml:space="preserve"> to end the</w:t>
            </w:r>
            <w:r>
              <w:t xml:space="preserve"> source defining process.</w:t>
            </w:r>
          </w:p>
          <w:p w:rsidR="00F93FCD" w:rsidRDefault="00F93FCD" w:rsidP="00F93FCD">
            <w:pPr>
              <w:pStyle w:val="BodyText"/>
              <w:numPr>
                <w:ilvl w:val="0"/>
                <w:numId w:val="1"/>
              </w:numPr>
            </w:pPr>
            <w:r w:rsidRPr="00F93FCD">
              <w:rPr>
                <w:i/>
              </w:rPr>
              <w:t xml:space="preserve">Press </w:t>
            </w:r>
            <w:r>
              <w:rPr>
                <w:b/>
                <w:i/>
              </w:rPr>
              <w:t>[Plot Source</w:t>
            </w:r>
            <w:r w:rsidRPr="00F93FCD">
              <w:rPr>
                <w:b/>
                <w:i/>
              </w:rPr>
              <w:t>]</w:t>
            </w:r>
            <w:r w:rsidRPr="00F93FCD">
              <w:rPr>
                <w:i/>
              </w:rPr>
              <w:t xml:space="preserve"> button of the </w:t>
            </w:r>
            <w:r>
              <w:rPr>
                <w:b/>
                <w:i/>
              </w:rPr>
              <w:t xml:space="preserve">View/Edit </w:t>
            </w:r>
            <w:r w:rsidRPr="00F93FCD">
              <w:rPr>
                <w:i/>
              </w:rPr>
              <w:t xml:space="preserve"> </w:t>
            </w:r>
            <w:r w:rsidR="00A2738D" w:rsidRPr="00A2738D">
              <w:rPr>
                <w:b/>
                <w:i/>
              </w:rPr>
              <w:t>Source</w:t>
            </w:r>
            <w:r w:rsidR="00A2738D">
              <w:rPr>
                <w:i/>
              </w:rPr>
              <w:t xml:space="preserve"> </w:t>
            </w:r>
            <w:r>
              <w:rPr>
                <w:i/>
              </w:rPr>
              <w:t xml:space="preserve">to display </w:t>
            </w:r>
            <w:r w:rsidR="00A2738D">
              <w:rPr>
                <w:i/>
              </w:rPr>
              <w:t>the input signal in the time domain</w:t>
            </w:r>
            <w:r>
              <w:t>.</w:t>
            </w:r>
          </w:p>
        </w:tc>
        <w:tc>
          <w:tcPr>
            <w:tcW w:w="2538" w:type="dxa"/>
          </w:tcPr>
          <w:p w:rsidR="00F93FCD" w:rsidRDefault="00F93FCD" w:rsidP="00F26E0A">
            <w:pPr>
              <w:pStyle w:val="BodyText"/>
            </w:pPr>
            <w:r>
              <w:object w:dxaOrig="7800" w:dyaOrig="3435">
                <v:shape id="_x0000_i1026" type="#_x0000_t75" style="width:186pt;height:81.75pt" o:ole="">
                  <v:imagedata r:id="rId13" o:title=""/>
                </v:shape>
                <o:OLEObject Type="Embed" ProgID="PBrush" ShapeID="_x0000_i1026" DrawAspect="Content" ObjectID="_1523862513" r:id="rId14"/>
              </w:object>
            </w:r>
          </w:p>
        </w:tc>
      </w:tr>
    </w:tbl>
    <w:p w:rsidR="00F93FCD" w:rsidRDefault="007F021B" w:rsidP="00F93FCD">
      <w:pPr>
        <w:pStyle w:val="Heading4"/>
      </w:pPr>
      <w:r>
        <w:rPr>
          <w:noProof/>
        </w:rPr>
        <w:lastRenderedPageBreak/>
        <w:drawing>
          <wp:inline distT="0" distB="0" distL="0" distR="0">
            <wp:extent cx="5937250" cy="3638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21B" w:rsidRPr="007F021B" w:rsidRDefault="007F021B" w:rsidP="007F021B">
      <w:pPr>
        <w:pStyle w:val="BodyText"/>
      </w:pPr>
    </w:p>
    <w:p w:rsidR="00F93FCD" w:rsidRDefault="00F93FCD" w:rsidP="002F5CBC"/>
    <w:p w:rsidR="002F5CBC" w:rsidRDefault="002F5CBC" w:rsidP="002F5CBC"/>
    <w:p w:rsidR="002F5CBC" w:rsidRDefault="007F021B" w:rsidP="002F5CBC">
      <w:bookmarkStart w:id="0" w:name="_GoBack"/>
      <w:r>
        <w:rPr>
          <w:noProof/>
        </w:rPr>
        <w:drawing>
          <wp:inline distT="0" distB="0" distL="0" distR="0">
            <wp:extent cx="5943600" cy="358013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8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F5CBC" w:rsidRDefault="002F5CBC" w:rsidP="002F5CBC"/>
    <w:p w:rsidR="002F5CBC" w:rsidRDefault="002F5CBC" w:rsidP="002F5CBC"/>
    <w:p w:rsidR="002F5CBC" w:rsidRDefault="002F5CBC" w:rsidP="002F5CBC"/>
    <w:p w:rsidR="00A2738D" w:rsidRDefault="00A2738D" w:rsidP="00A2738D">
      <w:pPr>
        <w:pStyle w:val="Heading4"/>
      </w:pPr>
      <w:r>
        <w:t>Assigning Waveguide Source</w:t>
      </w:r>
    </w:p>
    <w:p w:rsidR="00A2738D" w:rsidRDefault="00A2738D" w:rsidP="002F5CBC"/>
    <w:p w:rsidR="00A2738D" w:rsidRDefault="00A2738D" w:rsidP="002F5CBC"/>
    <w:p w:rsidR="00A2738D" w:rsidRDefault="00A2738D" w:rsidP="002F5CBC">
      <w:r>
        <w:t xml:space="preserve">For this example we assigned a TEM mode at the surface z=5 </w:t>
      </w:r>
      <w:proofErr w:type="gramStart"/>
      <w:r>
        <w:t>cm  (</w:t>
      </w:r>
      <w:proofErr w:type="gramEnd"/>
      <w:r>
        <w:t>using the same steps as explained in the quick start for the case of the horn antenna), with the following specifications,</w:t>
      </w:r>
    </w:p>
    <w:p w:rsidR="00A2738D" w:rsidRDefault="00A2738D" w:rsidP="002F5CBC"/>
    <w:p w:rsidR="00A2738D" w:rsidRDefault="00426CF2" w:rsidP="002F5CBC">
      <w:r>
        <w:rPr>
          <w:noProof/>
        </w:rPr>
        <w:drawing>
          <wp:inline distT="0" distB="0" distL="0" distR="0">
            <wp:extent cx="3264535" cy="520954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535" cy="520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38D" w:rsidRDefault="00A2738D" w:rsidP="002F5CBC"/>
    <w:p w:rsidR="00A2738D" w:rsidRDefault="00A2738D" w:rsidP="002F5CBC"/>
    <w:p w:rsidR="002F5CBC" w:rsidRDefault="002F5CBC" w:rsidP="002F5CBC"/>
    <w:p w:rsidR="002F5CBC" w:rsidRDefault="002F5CBC" w:rsidP="002F5CBC"/>
    <w:p w:rsidR="002F5CBC" w:rsidRDefault="00D048E8" w:rsidP="002F5CBC">
      <w:r>
        <w:t xml:space="preserve">Before running the solver, choose </w:t>
      </w:r>
      <w:r w:rsidRPr="00D048E8">
        <w:rPr>
          <w:b/>
          <w:i/>
        </w:rPr>
        <w:t>ZYS Matrix</w:t>
      </w:r>
      <w:r>
        <w:t xml:space="preserve"> as the </w:t>
      </w:r>
      <w:r>
        <w:rPr>
          <w:b/>
          <w:i/>
        </w:rPr>
        <w:t>Solver T</w:t>
      </w:r>
      <w:r w:rsidRPr="00D048E8">
        <w:rPr>
          <w:b/>
          <w:i/>
        </w:rPr>
        <w:t>ype</w:t>
      </w:r>
      <w:r>
        <w:t xml:space="preserve"> from the </w:t>
      </w:r>
      <w:r w:rsidRPr="00D048E8">
        <w:rPr>
          <w:b/>
          <w:i/>
        </w:rPr>
        <w:t>Physics Global Setup</w:t>
      </w:r>
      <w:r>
        <w:rPr>
          <w:b/>
          <w:i/>
        </w:rPr>
        <w:t>.</w:t>
      </w:r>
    </w:p>
    <w:p w:rsidR="00D048E8" w:rsidRDefault="00D048E8" w:rsidP="002F5CBC"/>
    <w:p w:rsidR="00D048E8" w:rsidRDefault="00D048E8" w:rsidP="002F5CBC">
      <w:r>
        <w:rPr>
          <w:noProof/>
        </w:rPr>
        <w:lastRenderedPageBreak/>
        <w:drawing>
          <wp:inline distT="0" distB="0" distL="0" distR="0">
            <wp:extent cx="2647950" cy="2011045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01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CBC" w:rsidRDefault="002F5CBC" w:rsidP="002F5CBC"/>
    <w:p w:rsidR="00D048E8" w:rsidRDefault="00D048E8" w:rsidP="002F5CBC">
      <w:r>
        <w:t xml:space="preserve">In </w:t>
      </w:r>
      <w:r w:rsidRPr="00D048E8">
        <w:rPr>
          <w:b/>
        </w:rPr>
        <w:t>CHRONOS</w:t>
      </w:r>
      <w:r>
        <w:rPr>
          <w:b/>
        </w:rPr>
        <w:t xml:space="preserve"> </w:t>
      </w:r>
      <w:r w:rsidRPr="00D048E8">
        <w:t>the coaxial source</w:t>
      </w:r>
      <w:r>
        <w:rPr>
          <w:b/>
        </w:rPr>
        <w:t xml:space="preserve"> </w:t>
      </w:r>
      <w:r>
        <w:t xml:space="preserve">is assumed as an in-port and therefore after completing the simulation you will get the </w:t>
      </w:r>
      <w:proofErr w:type="gramStart"/>
      <w:r>
        <w:t>Z,Y</w:t>
      </w:r>
      <w:proofErr w:type="gramEnd"/>
      <w:r>
        <w:t>,S matrices with dimensions 1x1 for this example.</w:t>
      </w:r>
    </w:p>
    <w:p w:rsidR="00476784" w:rsidRDefault="00476784" w:rsidP="002F5CBC"/>
    <w:p w:rsidR="00476784" w:rsidRDefault="00476784" w:rsidP="002F5CBC">
      <w:r>
        <w:t xml:space="preserve">We used uniform dx and </w:t>
      </w:r>
      <w:proofErr w:type="spellStart"/>
      <w:proofErr w:type="gramStart"/>
      <w:r>
        <w:t>dy</w:t>
      </w:r>
      <w:proofErr w:type="spellEnd"/>
      <w:r>
        <w:t xml:space="preserve">  =</w:t>
      </w:r>
      <w:proofErr w:type="gramEnd"/>
      <w:r>
        <w:t xml:space="preserve"> 0.5 (to avoid dense mesh for this example) and non-uniform  </w:t>
      </w:r>
      <w:proofErr w:type="spellStart"/>
      <w:r>
        <w:t>dz</w:t>
      </w:r>
      <w:proofErr w:type="spellEnd"/>
    </w:p>
    <w:p w:rsidR="00476784" w:rsidRDefault="00476784" w:rsidP="002F5CBC">
      <w:r>
        <w:rPr>
          <w:noProof/>
        </w:rPr>
        <w:drawing>
          <wp:inline distT="0" distB="0" distL="0" distR="0">
            <wp:extent cx="3171825" cy="2948940"/>
            <wp:effectExtent l="19050" t="0" r="9525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94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2AD" w:rsidRDefault="006E12AD" w:rsidP="002F5CBC"/>
    <w:p w:rsidR="006E12AD" w:rsidRDefault="006E12AD" w:rsidP="002F5CBC"/>
    <w:p w:rsidR="006E12AD" w:rsidRDefault="006E12AD" w:rsidP="002F5CBC">
      <w:r>
        <w:t>Use finite boundaries are used on the boundary box</w:t>
      </w:r>
    </w:p>
    <w:p w:rsidR="006E12AD" w:rsidRDefault="006E12AD" w:rsidP="002F5CBC">
      <w:r>
        <w:rPr>
          <w:noProof/>
        </w:rPr>
        <w:lastRenderedPageBreak/>
        <w:drawing>
          <wp:inline distT="0" distB="0" distL="0" distR="0">
            <wp:extent cx="4901565" cy="3781425"/>
            <wp:effectExtent l="1905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8E8" w:rsidRDefault="00D048E8" w:rsidP="002F5CBC"/>
    <w:p w:rsidR="006E12AD" w:rsidRDefault="006E12AD" w:rsidP="002F5CBC"/>
    <w:p w:rsidR="006E12AD" w:rsidRDefault="006E12AD" w:rsidP="002F5CBC"/>
    <w:p w:rsidR="00D048E8" w:rsidRDefault="006E12AD" w:rsidP="002F5CBC">
      <w:r>
        <w:t>Run the solver and then u</w:t>
      </w:r>
      <w:r w:rsidR="00D048E8">
        <w:t xml:space="preserve">se the </w:t>
      </w:r>
      <w:proofErr w:type="gramStart"/>
      <w:r w:rsidR="00D048E8">
        <w:t>Z,Y</w:t>
      </w:r>
      <w:proofErr w:type="gramEnd"/>
      <w:r w:rsidR="00D048E8">
        <w:t>,S Matrix dialog (using the same steps as explained in the quick start for the Filter example)</w:t>
      </w:r>
      <w:r w:rsidR="00ED298E">
        <w:t xml:space="preserve"> to display the S11 results. </w:t>
      </w:r>
    </w:p>
    <w:p w:rsidR="00D048E8" w:rsidRDefault="00D048E8" w:rsidP="002F5CBC"/>
    <w:p w:rsidR="00D048E8" w:rsidRDefault="00D048E8" w:rsidP="002F5CBC">
      <w:r>
        <w:rPr>
          <w:noProof/>
        </w:rPr>
        <w:lastRenderedPageBreak/>
        <w:drawing>
          <wp:inline distT="0" distB="0" distL="0" distR="0">
            <wp:extent cx="4008755" cy="386588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755" cy="386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8E8" w:rsidRDefault="00D048E8" w:rsidP="002F5CBC"/>
    <w:p w:rsidR="00D048E8" w:rsidRDefault="00D048E8" w:rsidP="002F5CBC"/>
    <w:p w:rsidR="00D048E8" w:rsidRDefault="00426CF2" w:rsidP="002F5CBC">
      <w:r>
        <w:rPr>
          <w:noProof/>
        </w:rPr>
        <w:lastRenderedPageBreak/>
        <w:drawing>
          <wp:inline distT="0" distB="0" distL="0" distR="0">
            <wp:extent cx="5941060" cy="4381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CBC" w:rsidRDefault="002F5CBC" w:rsidP="002F5CBC"/>
    <w:p w:rsidR="00ED298E" w:rsidRDefault="00ED298E" w:rsidP="002F5CBC">
      <w:r>
        <w:t>The results agree very wel</w:t>
      </w:r>
      <w:r w:rsidR="006E12AD">
        <w:t xml:space="preserve">l with the published results in </w:t>
      </w:r>
      <w:r>
        <w:t>[1].</w:t>
      </w:r>
    </w:p>
    <w:p w:rsidR="002F5CBC" w:rsidRPr="00666CC9" w:rsidRDefault="002F5CBC" w:rsidP="002F5CBC"/>
    <w:p w:rsidR="002F5CBC" w:rsidRPr="00666CC9" w:rsidRDefault="002F5CBC" w:rsidP="002F5CBC"/>
    <w:p w:rsidR="002F5CBC" w:rsidRDefault="002F5CBC" w:rsidP="002F5CBC">
      <w:r>
        <w:t>[1</w:t>
      </w:r>
      <w:proofErr w:type="gramStart"/>
      <w:r>
        <w:t xml:space="preserve">] </w:t>
      </w:r>
      <w:r w:rsidR="00ED298E">
        <w:t xml:space="preserve"> </w:t>
      </w:r>
      <w:proofErr w:type="spellStart"/>
      <w:r w:rsidR="00ED298E">
        <w:t>F</w:t>
      </w:r>
      <w:proofErr w:type="gramEnd"/>
      <w:r w:rsidR="00ED298E">
        <w:t>.Yan</w:t>
      </w:r>
      <w:proofErr w:type="spellEnd"/>
      <w:r w:rsidR="00ED298E">
        <w:t xml:space="preserve"> and Y. </w:t>
      </w:r>
      <w:proofErr w:type="spellStart"/>
      <w:r w:rsidR="00ED298E">
        <w:t>Rahmat-Samii</w:t>
      </w:r>
      <w:proofErr w:type="spellEnd"/>
      <w:r w:rsidR="00ED298E">
        <w:t xml:space="preserve">, “Patch Antennas with Switchable Slots (PASS) in Wireless Communications: Concepts, Designs, and Applications , </w:t>
      </w:r>
      <w:r>
        <w:t>“</w:t>
      </w:r>
      <w:r w:rsidR="00ED298E">
        <w:t xml:space="preserve"> IEEE Antennas &amp; Propagation Magazine, Vol.47,  </w:t>
      </w:r>
      <w:r w:rsidRPr="006A7223">
        <w:t>pp</w:t>
      </w:r>
      <w:r w:rsidR="00ED298E">
        <w:t xml:space="preserve">. </w:t>
      </w:r>
      <w:r w:rsidRPr="006A7223">
        <w:t>13-29</w:t>
      </w:r>
      <w:r w:rsidR="00ED298E">
        <w:t xml:space="preserve">, </w:t>
      </w:r>
      <w:r w:rsidR="00ED298E" w:rsidRPr="006A7223">
        <w:t>April2005</w:t>
      </w:r>
      <w:r>
        <w:t xml:space="preserve">. </w:t>
      </w:r>
    </w:p>
    <w:p w:rsidR="001A6E88" w:rsidRDefault="00C33FF0"/>
    <w:sectPr w:rsidR="001A6E88" w:rsidSect="00632C9D">
      <w:headerReference w:type="default" r:id="rId23"/>
      <w:footerReference w:type="default" r:id="rId2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FF0" w:rsidRDefault="00C33FF0" w:rsidP="001F6DCF">
      <w:r>
        <w:separator/>
      </w:r>
    </w:p>
  </w:endnote>
  <w:endnote w:type="continuationSeparator" w:id="0">
    <w:p w:rsidR="00C33FF0" w:rsidRDefault="00C33FF0" w:rsidP="001F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DF8" w:rsidRDefault="00B62A35" w:rsidP="00B86A0E">
    <w:pPr>
      <w:pStyle w:val="Footer"/>
      <w:pBdr>
        <w:top w:val="single" w:sz="4" w:space="1" w:color="auto"/>
      </w:pBdr>
      <w:jc w:val="center"/>
    </w:pPr>
    <w:r>
      <w:t>R&amp;D Report 2010-2011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FF0" w:rsidRDefault="00C33FF0" w:rsidP="001F6DCF">
      <w:r>
        <w:separator/>
      </w:r>
    </w:p>
  </w:footnote>
  <w:footnote w:type="continuationSeparator" w:id="0">
    <w:p w:rsidR="00C33FF0" w:rsidRDefault="00C33FF0" w:rsidP="001F6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DF8" w:rsidRPr="00476784" w:rsidRDefault="00B62A35" w:rsidP="00C14CC5">
    <w:pPr>
      <w:pBdr>
        <w:bottom w:val="single" w:sz="4" w:space="1" w:color="auto"/>
      </w:pBdr>
      <w:rPr>
        <w:b/>
        <w:sz w:val="20"/>
        <w:szCs w:val="36"/>
      </w:rPr>
    </w:pPr>
    <w:r>
      <w:tab/>
    </w:r>
    <w:r w:rsidR="001F6DCF">
      <w:rPr>
        <w:b/>
        <w:sz w:val="36"/>
        <w:szCs w:val="36"/>
      </w:rPr>
      <w:t>Patch Antenna with Probe Feeding</w:t>
    </w:r>
    <w:r w:rsidR="00476784">
      <w:rPr>
        <w:b/>
        <w:sz w:val="36"/>
        <w:szCs w:val="36"/>
      </w:rPr>
      <w:t xml:space="preserve">: </w:t>
    </w:r>
    <w:r w:rsidR="00476784" w:rsidRPr="00476784">
      <w:rPr>
        <w:i/>
        <w:sz w:val="20"/>
        <w:szCs w:val="36"/>
      </w:rPr>
      <w:t>patch_probeFeeding_IEEE_AP_Magazine_April2005_pp13-29_solved.dbs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04ED"/>
    <w:multiLevelType w:val="hybridMultilevel"/>
    <w:tmpl w:val="96A48A5E"/>
    <w:lvl w:ilvl="0" w:tplc="BDB2EA18">
      <w:start w:val="1"/>
      <w:numFmt w:val="decimal"/>
      <w:lvlText w:val="%1)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CBC"/>
    <w:rsid w:val="00040027"/>
    <w:rsid w:val="00102D54"/>
    <w:rsid w:val="001F6DCF"/>
    <w:rsid w:val="002F5CBC"/>
    <w:rsid w:val="00333B21"/>
    <w:rsid w:val="00426CF2"/>
    <w:rsid w:val="00476784"/>
    <w:rsid w:val="004B71BA"/>
    <w:rsid w:val="005545D7"/>
    <w:rsid w:val="006E12AD"/>
    <w:rsid w:val="00726400"/>
    <w:rsid w:val="007F021B"/>
    <w:rsid w:val="00840F8E"/>
    <w:rsid w:val="008B79CA"/>
    <w:rsid w:val="008D6BA7"/>
    <w:rsid w:val="009C3A0B"/>
    <w:rsid w:val="00A2738D"/>
    <w:rsid w:val="00B62A35"/>
    <w:rsid w:val="00C33FF0"/>
    <w:rsid w:val="00D048E8"/>
    <w:rsid w:val="00D46A2E"/>
    <w:rsid w:val="00ED298E"/>
    <w:rsid w:val="00F9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440DF"/>
  <w15:docId w15:val="{0CF303F5-B1FA-4EB7-97C2-E5B0B2A6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CBC"/>
    <w:pPr>
      <w:spacing w:after="0" w:line="240" w:lineRule="auto"/>
    </w:pPr>
    <w:rPr>
      <w:rFonts w:ascii="Calibri" w:hAnsi="Calibri" w:cs="Times New Roman"/>
    </w:rPr>
  </w:style>
  <w:style w:type="paragraph" w:styleId="Heading4">
    <w:name w:val="heading 4"/>
    <w:basedOn w:val="Normal"/>
    <w:next w:val="BodyText"/>
    <w:link w:val="Heading4Char"/>
    <w:qFormat/>
    <w:rsid w:val="00F93FCD"/>
    <w:pPr>
      <w:keepNext/>
      <w:spacing w:before="240" w:after="120"/>
      <w:outlineLvl w:val="3"/>
    </w:pPr>
    <w:rPr>
      <w:rFonts w:ascii="Arial" w:eastAsia="Times New Roman" w:hAnsi="Arial"/>
      <w:b/>
      <w:color w:val="33CCCC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F5CBC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F5CBC"/>
  </w:style>
  <w:style w:type="paragraph" w:styleId="BalloonText">
    <w:name w:val="Balloon Text"/>
    <w:basedOn w:val="Normal"/>
    <w:link w:val="BalloonTextChar"/>
    <w:uiPriority w:val="99"/>
    <w:semiHidden/>
    <w:unhideWhenUsed/>
    <w:rsid w:val="002F5C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C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F6D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6DCF"/>
    <w:rPr>
      <w:rFonts w:ascii="Calibri" w:hAnsi="Calibri" w:cs="Times New Roman"/>
    </w:rPr>
  </w:style>
  <w:style w:type="character" w:customStyle="1" w:styleId="Heading4Char">
    <w:name w:val="Heading 4 Char"/>
    <w:basedOn w:val="DefaultParagraphFont"/>
    <w:link w:val="Heading4"/>
    <w:rsid w:val="00F93FCD"/>
    <w:rPr>
      <w:rFonts w:ascii="Arial" w:eastAsia="Times New Roman" w:hAnsi="Arial" w:cs="Times New Roman"/>
      <w:b/>
      <w:color w:val="33CCCC"/>
      <w:sz w:val="24"/>
      <w:szCs w:val="20"/>
    </w:rPr>
  </w:style>
  <w:style w:type="paragraph" w:styleId="BodyText">
    <w:name w:val="Body Text"/>
    <w:basedOn w:val="Normal"/>
    <w:link w:val="BodyTextChar"/>
    <w:semiHidden/>
    <w:rsid w:val="00F93FCD"/>
    <w:pPr>
      <w:keepLines/>
      <w:spacing w:before="240" w:after="240"/>
    </w:pPr>
    <w:rPr>
      <w:rFonts w:ascii="Arial" w:eastAsia="Times New Roman" w:hAnsi="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93FCD"/>
    <w:rPr>
      <w:rFonts w:ascii="Arial" w:eastAsia="Times New Roman" w:hAnsi="Arial" w:cs="Times New Roman"/>
      <w:sz w:val="24"/>
      <w:szCs w:val="20"/>
    </w:rPr>
  </w:style>
  <w:style w:type="table" w:styleId="TableGrid">
    <w:name w:val="Table Grid"/>
    <w:basedOn w:val="TableNormal"/>
    <w:uiPriority w:val="59"/>
    <w:rsid w:val="00F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4090</TotalTime>
  <Pages>8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Enginia Research Inc.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hany</dc:creator>
  <cp:keywords/>
  <dc:description/>
  <cp:lastModifiedBy>Hany Abdel-Raouf</cp:lastModifiedBy>
  <cp:revision>8</cp:revision>
  <dcterms:created xsi:type="dcterms:W3CDTF">2011-01-21T22:17:00Z</dcterms:created>
  <dcterms:modified xsi:type="dcterms:W3CDTF">2016-05-04T15:22:00Z</dcterms:modified>
</cp:coreProperties>
</file>